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31420B" w14:paraId="19D3565D" w14:textId="77777777" w:rsidTr="00E275E2">
        <w:trPr>
          <w:trHeight w:val="535"/>
        </w:trPr>
        <w:tc>
          <w:tcPr>
            <w:tcW w:w="7328" w:type="dxa"/>
          </w:tcPr>
          <w:p w14:paraId="064B8253" w14:textId="77777777" w:rsidR="00E275E2" w:rsidRPr="0031420B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1420B">
              <w:rPr>
                <w:rFonts w:ascii="Arial" w:hAnsi="Arial" w:cs="Arial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4F512E8E" wp14:editId="7873DFAA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31420B" w14:paraId="6059CDE3" w14:textId="77777777" w:rsidTr="00E275E2">
        <w:trPr>
          <w:trHeight w:val="446"/>
        </w:trPr>
        <w:tc>
          <w:tcPr>
            <w:tcW w:w="7328" w:type="dxa"/>
          </w:tcPr>
          <w:p w14:paraId="5BA4E7B4" w14:textId="64D0CF45" w:rsidR="00E275E2" w:rsidRPr="0031420B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 xml:space="preserve">Automotive Component Manufacturers Association </w:t>
            </w:r>
            <w:r w:rsidR="00B6542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o</w:t>
            </w:r>
            <w:r w:rsidRPr="0031420B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f India</w:t>
            </w:r>
          </w:p>
        </w:tc>
      </w:tr>
    </w:tbl>
    <w:p w14:paraId="703C7413" w14:textId="77777777" w:rsidR="00714A2F" w:rsidRPr="0031420B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5A3DEB58" w14:textId="77777777" w:rsidR="00A02DB2" w:rsidRPr="00B65422" w:rsidRDefault="00A02DB2" w:rsidP="00A520CE">
      <w:pPr>
        <w:jc w:val="center"/>
        <w:rPr>
          <w:rFonts w:asciiTheme="minorHAnsi" w:hAnsiTheme="minorHAnsi" w:cstheme="minorHAnsi"/>
          <w:b/>
          <w:sz w:val="32"/>
          <w:szCs w:val="36"/>
          <w:u w:val="single"/>
          <w:lang w:val="en-GB"/>
        </w:rPr>
      </w:pPr>
      <w:r w:rsidRPr="00B65422">
        <w:rPr>
          <w:rFonts w:asciiTheme="minorHAnsi" w:hAnsiTheme="minorHAnsi" w:cstheme="minorHAnsi"/>
          <w:b/>
          <w:sz w:val="32"/>
          <w:szCs w:val="36"/>
          <w:u w:val="single"/>
          <w:lang w:val="en-GB"/>
        </w:rPr>
        <w:t>Press Release</w:t>
      </w:r>
    </w:p>
    <w:p w14:paraId="147A8549" w14:textId="77777777" w:rsidR="00A02DB2" w:rsidRPr="00B65422" w:rsidRDefault="00A02DB2" w:rsidP="00A02DB2">
      <w:pPr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en-GB"/>
        </w:rPr>
      </w:pPr>
    </w:p>
    <w:p w14:paraId="3B57EDBA" w14:textId="6B1D0786" w:rsidR="004D6AE6" w:rsidRPr="00B65422" w:rsidRDefault="004D6AE6" w:rsidP="004D6AE6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Indian Auto Component Industry clocks turnover of Rs. </w:t>
      </w:r>
      <w:r w:rsidR="000A0C78">
        <w:rPr>
          <w:rFonts w:asciiTheme="minorHAnsi" w:hAnsiTheme="minorHAnsi" w:cstheme="minorHAnsi"/>
          <w:b/>
          <w:sz w:val="28"/>
          <w:szCs w:val="28"/>
          <w:lang w:val="en-GB"/>
        </w:rPr>
        <w:t>3</w:t>
      </w: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>.</w:t>
      </w:r>
      <w:r w:rsidR="00D44D02">
        <w:rPr>
          <w:rFonts w:asciiTheme="minorHAnsi" w:hAnsiTheme="minorHAnsi" w:cstheme="minorHAnsi"/>
          <w:b/>
          <w:sz w:val="28"/>
          <w:szCs w:val="28"/>
          <w:lang w:val="en-GB"/>
        </w:rPr>
        <w:t xml:space="preserve">49 </w:t>
      </w: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lakh </w:t>
      </w:r>
      <w:r w:rsidR="00D64702"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crore </w:t>
      </w: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(USD </w:t>
      </w:r>
      <w:r w:rsidR="000A0C78">
        <w:rPr>
          <w:rFonts w:asciiTheme="minorHAnsi" w:hAnsiTheme="minorHAnsi" w:cstheme="minorHAnsi"/>
          <w:b/>
          <w:sz w:val="28"/>
          <w:szCs w:val="28"/>
          <w:lang w:val="en-GB"/>
        </w:rPr>
        <w:t>49.</w:t>
      </w:r>
      <w:r w:rsidR="00D44D02"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 billion), de-grows </w:t>
      </w:r>
      <w:r w:rsidR="00D44D02">
        <w:rPr>
          <w:rFonts w:asciiTheme="minorHAnsi" w:hAnsiTheme="minorHAnsi" w:cstheme="minorHAnsi"/>
          <w:b/>
          <w:sz w:val="28"/>
          <w:szCs w:val="28"/>
          <w:lang w:val="en-GB"/>
        </w:rPr>
        <w:t>11.7</w:t>
      </w: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 per cent in </w:t>
      </w:r>
      <w:r w:rsidR="000A0C78">
        <w:rPr>
          <w:rFonts w:asciiTheme="minorHAnsi" w:hAnsiTheme="minorHAnsi" w:cstheme="minorHAnsi"/>
          <w:b/>
          <w:sz w:val="28"/>
          <w:szCs w:val="28"/>
          <w:lang w:val="en-GB"/>
        </w:rPr>
        <w:t xml:space="preserve">FY </w:t>
      </w: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2019-20 </w:t>
      </w:r>
    </w:p>
    <w:p w14:paraId="3747D8DB" w14:textId="77777777" w:rsidR="004D6AE6" w:rsidRPr="00B65422" w:rsidRDefault="004D6AE6" w:rsidP="00EE521D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65422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14:paraId="5A570CB1" w14:textId="24A3423B" w:rsidR="004D6AE6" w:rsidRPr="00B65422" w:rsidRDefault="000A0C78" w:rsidP="004D6AE6">
      <w:pPr>
        <w:numPr>
          <w:ilvl w:val="0"/>
          <w:numId w:val="1"/>
        </w:numPr>
        <w:rPr>
          <w:rFonts w:asciiTheme="minorHAnsi" w:hAnsiTheme="minorHAnsi" w:cstheme="minorHAnsi"/>
          <w:b/>
          <w:i/>
          <w:sz w:val="28"/>
          <w:szCs w:val="32"/>
          <w:lang w:val="en-GB"/>
        </w:rPr>
      </w:pP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Sales to </w:t>
      </w:r>
      <w:r w:rsidR="00C047F1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OEMs </w:t>
      </w:r>
      <w:r w:rsidR="00B6435A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declined </w:t>
      </w: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>1</w:t>
      </w:r>
      <w:r w:rsidR="00D44D02">
        <w:rPr>
          <w:rFonts w:asciiTheme="minorHAnsi" w:hAnsiTheme="minorHAnsi" w:cstheme="minorHAnsi"/>
          <w:b/>
          <w:i/>
          <w:sz w:val="28"/>
          <w:szCs w:val="32"/>
          <w:lang w:val="en-GB"/>
        </w:rPr>
        <w:t>7</w:t>
      </w: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%, imports by </w:t>
      </w:r>
      <w:r w:rsidR="00D44D02">
        <w:rPr>
          <w:rFonts w:asciiTheme="minorHAnsi" w:hAnsiTheme="minorHAnsi" w:cstheme="minorHAnsi"/>
          <w:b/>
          <w:i/>
          <w:sz w:val="28"/>
          <w:szCs w:val="32"/>
          <w:lang w:val="en-GB"/>
        </w:rPr>
        <w:t>11.4</w:t>
      </w: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% and exports by </w:t>
      </w:r>
      <w:r w:rsidR="00D44D02">
        <w:rPr>
          <w:rFonts w:asciiTheme="minorHAnsi" w:hAnsiTheme="minorHAnsi" w:cstheme="minorHAnsi"/>
          <w:b/>
          <w:i/>
          <w:sz w:val="28"/>
          <w:szCs w:val="32"/>
          <w:lang w:val="en-GB"/>
        </w:rPr>
        <w:t>3.2</w:t>
      </w: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>%</w:t>
      </w:r>
    </w:p>
    <w:p w14:paraId="588ED8E9" w14:textId="6CA4DC2B" w:rsidR="004D6AE6" w:rsidRDefault="004D6AE6" w:rsidP="004D6AE6">
      <w:pPr>
        <w:numPr>
          <w:ilvl w:val="0"/>
          <w:numId w:val="1"/>
        </w:numPr>
        <w:rPr>
          <w:rFonts w:asciiTheme="minorHAnsi" w:hAnsiTheme="minorHAnsi" w:cstheme="minorHAnsi"/>
          <w:b/>
          <w:i/>
          <w:sz w:val="28"/>
          <w:szCs w:val="32"/>
          <w:lang w:val="en-GB"/>
        </w:rPr>
      </w:pPr>
      <w:r w:rsidRPr="00B65422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Auto component Aftermarket </w:t>
      </w:r>
      <w:r w:rsidR="00D64702" w:rsidRPr="00B65422">
        <w:rPr>
          <w:rFonts w:asciiTheme="minorHAnsi" w:hAnsiTheme="minorHAnsi" w:cstheme="minorHAnsi"/>
          <w:b/>
          <w:i/>
          <w:sz w:val="28"/>
          <w:szCs w:val="32"/>
          <w:lang w:val="en-GB"/>
        </w:rPr>
        <w:t>at</w:t>
      </w:r>
      <w:r w:rsidRPr="00B65422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 Rs.</w:t>
      </w:r>
      <w:r w:rsidR="00D44D02">
        <w:rPr>
          <w:rFonts w:asciiTheme="minorHAnsi" w:hAnsiTheme="minorHAnsi" w:cstheme="minorHAnsi"/>
          <w:b/>
          <w:i/>
          <w:sz w:val="28"/>
          <w:szCs w:val="32"/>
          <w:lang w:val="en-GB"/>
        </w:rPr>
        <w:t>69</w:t>
      </w:r>
      <w:r w:rsidR="000A0C78">
        <w:rPr>
          <w:rFonts w:asciiTheme="minorHAnsi" w:hAnsiTheme="minorHAnsi" w:cstheme="minorHAnsi"/>
          <w:b/>
          <w:i/>
          <w:sz w:val="28"/>
          <w:szCs w:val="32"/>
          <w:lang w:val="en-GB"/>
        </w:rPr>
        <w:t>,</w:t>
      </w:r>
      <w:r w:rsidR="00D44D02">
        <w:rPr>
          <w:rFonts w:asciiTheme="minorHAnsi" w:hAnsiTheme="minorHAnsi" w:cstheme="minorHAnsi"/>
          <w:b/>
          <w:i/>
          <w:sz w:val="28"/>
          <w:szCs w:val="32"/>
          <w:lang w:val="en-GB"/>
        </w:rPr>
        <w:t>381</w:t>
      </w:r>
      <w:r w:rsidRPr="00B65422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 crore (USD</w:t>
      </w:r>
      <w:r w:rsidR="00483D31" w:rsidRPr="00B65422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 </w:t>
      </w:r>
      <w:r w:rsidR="00D44D02">
        <w:rPr>
          <w:rFonts w:asciiTheme="minorHAnsi" w:hAnsiTheme="minorHAnsi" w:cstheme="minorHAnsi"/>
          <w:b/>
          <w:i/>
          <w:sz w:val="28"/>
          <w:szCs w:val="32"/>
          <w:lang w:val="en-GB"/>
        </w:rPr>
        <w:t>9.8</w:t>
      </w:r>
      <w:r w:rsidRPr="00B65422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 billion) </w:t>
      </w:r>
      <w:r w:rsidR="000A0C78">
        <w:rPr>
          <w:rFonts w:asciiTheme="minorHAnsi" w:hAnsiTheme="minorHAnsi" w:cstheme="minorHAnsi"/>
          <w:b/>
          <w:i/>
          <w:sz w:val="28"/>
          <w:szCs w:val="32"/>
          <w:lang w:val="en-GB"/>
        </w:rPr>
        <w:t xml:space="preserve">remained </w:t>
      </w:r>
      <w:r w:rsidR="00B6435A">
        <w:rPr>
          <w:rFonts w:asciiTheme="minorHAnsi" w:hAnsiTheme="minorHAnsi" w:cstheme="minorHAnsi"/>
          <w:b/>
          <w:i/>
          <w:sz w:val="28"/>
          <w:szCs w:val="32"/>
          <w:lang w:val="en-GB"/>
        </w:rPr>
        <w:t>stable</w:t>
      </w:r>
    </w:p>
    <w:p w14:paraId="0B9F5AFB" w14:textId="4282B9A0" w:rsidR="00327740" w:rsidRPr="00B65422" w:rsidRDefault="00327740" w:rsidP="004D6AE6">
      <w:pPr>
        <w:numPr>
          <w:ilvl w:val="0"/>
          <w:numId w:val="1"/>
        </w:numPr>
        <w:rPr>
          <w:rFonts w:asciiTheme="minorHAnsi" w:hAnsiTheme="minorHAnsi" w:cstheme="minorHAnsi"/>
          <w:b/>
          <w:i/>
          <w:sz w:val="28"/>
          <w:szCs w:val="32"/>
          <w:lang w:val="en-GB"/>
        </w:rPr>
      </w:pPr>
      <w:r>
        <w:rPr>
          <w:rFonts w:asciiTheme="minorHAnsi" w:hAnsiTheme="minorHAnsi" w:cstheme="minorHAnsi"/>
          <w:b/>
          <w:i/>
          <w:sz w:val="28"/>
          <w:szCs w:val="32"/>
          <w:lang w:val="en-GB"/>
        </w:rPr>
        <w:t>Industry cautiously optimistic as green shoots emerge</w:t>
      </w:r>
    </w:p>
    <w:p w14:paraId="7B245116" w14:textId="77777777" w:rsidR="00A02DB2" w:rsidRPr="00B65422" w:rsidRDefault="00A02DB2" w:rsidP="00A02DB2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3B47AF28" w14:textId="5CC8D46C" w:rsidR="001F16CF" w:rsidRPr="00022C04" w:rsidRDefault="00A02DB2" w:rsidP="003E4B84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New Delhi; </w:t>
      </w:r>
      <w:r w:rsidR="000A0C78" w:rsidRPr="00022C04">
        <w:rPr>
          <w:rFonts w:asciiTheme="minorHAnsi" w:hAnsiTheme="minorHAnsi" w:cstheme="minorHAnsi"/>
          <w:b/>
          <w:sz w:val="26"/>
          <w:szCs w:val="26"/>
          <w:lang w:val="en-GB"/>
        </w:rPr>
        <w:t>19</w:t>
      </w:r>
      <w:r w:rsidR="004D6AE6"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 </w:t>
      </w:r>
      <w:r w:rsidR="000A0C78" w:rsidRPr="00022C04">
        <w:rPr>
          <w:rFonts w:asciiTheme="minorHAnsi" w:hAnsiTheme="minorHAnsi" w:cstheme="minorHAnsi"/>
          <w:b/>
          <w:sz w:val="26"/>
          <w:szCs w:val="26"/>
          <w:lang w:val="en-GB"/>
        </w:rPr>
        <w:t>August</w:t>
      </w:r>
      <w:r w:rsidR="004D6AE6"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 20</w:t>
      </w:r>
      <w:r w:rsidR="000A0C78" w:rsidRPr="00022C04">
        <w:rPr>
          <w:rFonts w:asciiTheme="minorHAnsi" w:hAnsiTheme="minorHAnsi" w:cstheme="minorHAnsi"/>
          <w:b/>
          <w:sz w:val="26"/>
          <w:szCs w:val="26"/>
          <w:lang w:val="en-GB"/>
        </w:rPr>
        <w:t>20</w:t>
      </w:r>
      <w:r w:rsidRPr="00022C04">
        <w:rPr>
          <w:rFonts w:asciiTheme="minorHAnsi" w:hAnsiTheme="minorHAnsi" w:cstheme="minorHAnsi"/>
          <w:sz w:val="26"/>
          <w:szCs w:val="26"/>
          <w:lang w:val="en-GB"/>
        </w:rPr>
        <w:t xml:space="preserve">: 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Automotive Component Manufacturers Association of India (ACMA), the apex body representing India’s Auto Component manufacturing industry today announced the findings of its Industry Performance</w:t>
      </w:r>
      <w:r w:rsidR="005D669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Review for the</w:t>
      </w:r>
      <w:r w:rsidR="002802B6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D669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fiscal</w:t>
      </w:r>
      <w:r w:rsidR="000A0C78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year</w:t>
      </w:r>
      <w:r w:rsidR="005D669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A2687F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2019</w:t>
      </w:r>
      <w:r w:rsidR="002802B6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-20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.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The </w:t>
      </w:r>
      <w:r w:rsidR="008C7278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turnover of the 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automotive comp</w:t>
      </w:r>
      <w:r w:rsidR="004F7C15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onent industry </w:t>
      </w:r>
      <w:r w:rsidR="005324F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stoo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d at Rs.</w:t>
      </w:r>
      <w:r w:rsidR="007D5FFA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3.</w:t>
      </w:r>
      <w:r w:rsidR="00D44D02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49</w:t>
      </w:r>
      <w:r w:rsidR="007D5FFA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lakh crore (USD </w:t>
      </w:r>
      <w:r w:rsidR="007D5FFA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49.</w:t>
      </w:r>
      <w:r w:rsidR="00D44D02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billion) for the period April </w:t>
      </w:r>
      <w:r w:rsidR="00BE39D8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201</w:t>
      </w:r>
      <w:r w:rsidR="002802B6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9</w:t>
      </w:r>
      <w:r w:rsidR="00BE39D8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to </w:t>
      </w:r>
      <w:r w:rsidR="007D5FFA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March 2020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, registering a </w:t>
      </w:r>
      <w:r w:rsidR="002802B6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de-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growth of </w:t>
      </w:r>
      <w:r w:rsidR="00D44D02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11.7</w:t>
      </w:r>
      <w:r w:rsidR="003E088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 over the previous year. </w:t>
      </w:r>
    </w:p>
    <w:p w14:paraId="4817563E" w14:textId="77777777" w:rsidR="001F16CF" w:rsidRPr="00022C04" w:rsidRDefault="001F16CF" w:rsidP="003E4B84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49F9D8FA" w14:textId="2CD46EA1" w:rsidR="000868B3" w:rsidRPr="00022C04" w:rsidRDefault="0013401C" w:rsidP="00BA635A">
      <w:pPr>
        <w:jc w:val="both"/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Commenting on the performance of the auto component industry in India</w:t>
      </w:r>
      <w:r w:rsidR="00A02D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A02DB2" w:rsidRPr="00022C04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Vinnie Mehta, Director General, ACMA</w:t>
      </w:r>
      <w:r w:rsidR="000B784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1F16CF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said</w:t>
      </w:r>
      <w:r w:rsidR="000B784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, “</w:t>
      </w:r>
      <w:r w:rsidR="007D5FFA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The overall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vehicle industry witnessed a severe downturn in 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201</w:t>
      </w:r>
      <w:r w:rsidR="00327740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9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-</w:t>
      </w:r>
      <w:r w:rsidR="00327740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20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that </w:t>
      </w:r>
      <w:r w:rsidR="0024525B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saw</w:t>
      </w:r>
      <w:r w:rsidR="008C2E8B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its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sales</w:t>
      </w:r>
      <w:r w:rsidR="00BE39D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F01F35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slump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by 18%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.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The component industry</w:t>
      </w:r>
      <w:r w:rsidR="001F16CF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,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1F16CF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in tandem</w:t>
      </w:r>
      <w:r w:rsidR="00BE39D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, posted a subdued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performance with 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de-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growth of 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11.7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pe</w:t>
      </w:r>
      <w:r w:rsidR="00A71B51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r 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cent over the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year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1F16CF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registering a turnover of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Rs.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3.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49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lakh crore (USD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49.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2</w:t>
      </w:r>
      <w:r w:rsidR="002802B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billion)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. </w:t>
      </w:r>
      <w:r w:rsidR="0034789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Auto Component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Aftermarket at Rs.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69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,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381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crore (USD 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9.8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billion) remained stable while sales to OEMs in the domestic market at Rs.2.87 lakh crore (USD 40.5 billion) declined 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17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per cent. Both Imports and exports declined by 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11.4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per cent and </w:t>
      </w:r>
      <w:r w:rsidR="00D44D02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3.2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per cent respectively; Imports stood at </w:t>
      </w:r>
      <w:r w:rsidR="00654AE2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Rs.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1.09 lakh crore (USD 15.4 billion), while exports </w:t>
      </w:r>
      <w:r w:rsidR="00654AE2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at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Rs. 1.02 lakh crore (USD 14.5 billion)”.</w:t>
      </w:r>
    </w:p>
    <w:p w14:paraId="37CD584C" w14:textId="77777777" w:rsidR="0013401C" w:rsidRPr="00022C04" w:rsidRDefault="0013401C" w:rsidP="00292D49">
      <w:pPr>
        <w:jc w:val="both"/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</w:pPr>
    </w:p>
    <w:p w14:paraId="26D06C57" w14:textId="54D8EC95" w:rsidR="0024525B" w:rsidRPr="00022C04" w:rsidRDefault="00284408" w:rsidP="0013401C">
      <w:pPr>
        <w:jc w:val="both"/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Sharing his insights on the </w:t>
      </w:r>
      <w:r w:rsidR="00E868D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performance of the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auto</w:t>
      </w:r>
      <w:r w:rsidR="00BA7FD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component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C32016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industry</w:t>
      </w:r>
      <w:r w:rsidR="00E868D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in the year gone by</w:t>
      </w:r>
      <w:r w:rsidR="0013401C" w:rsidRPr="00022C04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Pr="00022C04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Deepak Ja</w:t>
      </w:r>
      <w:r w:rsidR="00E53727" w:rsidRPr="00022C04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i</w:t>
      </w:r>
      <w:r w:rsidRPr="00022C04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n</w:t>
      </w:r>
      <w:r w:rsidR="0013401C" w:rsidRPr="00022C04"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  <w:t>, President, ACMA</w:t>
      </w:r>
      <w:r w:rsidR="0013401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said, </w:t>
      </w:r>
      <w:r w:rsidR="0013401C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“</w:t>
      </w:r>
      <w:r w:rsidR="00C32016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The </w:t>
      </w:r>
      <w:r w:rsidR="00BE39D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automotive industry </w:t>
      </w:r>
      <w:r w:rsidR="00A71B51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fac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ed</w:t>
      </w:r>
      <w:r w:rsidR="00A71B51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a </w:t>
      </w:r>
      <w:r w:rsidR="00E53727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prolonged</w:t>
      </w:r>
      <w:r w:rsidR="00A71B51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slow</w:t>
      </w:r>
      <w:r w:rsidR="00BE39D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down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in </w:t>
      </w:r>
      <w:r w:rsidR="00E868D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FY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2019-</w:t>
      </w:r>
      <w:r w:rsidR="00E868D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2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0 with</w:t>
      </w:r>
      <w:r w:rsidR="00BE39D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vehicle sales in all </w:t>
      </w:r>
      <w:r w:rsidR="00EE3EC4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segments </w:t>
      </w:r>
      <w:r w:rsidR="000868B3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plummeting significantly</w:t>
      </w:r>
      <w:r w:rsidR="00E868D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. 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S</w:t>
      </w:r>
      <w:r w:rsidR="0024525B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ubdued 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vehicle </w:t>
      </w:r>
      <w:r w:rsidR="0024525B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demand, investments made for transition from BSIV to BSVI, 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liquidity crunch, </w:t>
      </w:r>
      <w:r w:rsidR="0024525B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lack of a clarity on policy for electrification</w:t>
      </w:r>
      <w:r w:rsidR="00347898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of vehicles</w:t>
      </w:r>
      <w:r w:rsidR="00E868D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and slow-down in key export markets</w:t>
      </w:r>
      <w:r w:rsidR="0024525B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among others, had an adverse impact on the </w:t>
      </w:r>
      <w:r w:rsidR="00E868D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performance of the components sector in India as also on its </w:t>
      </w:r>
      <w:r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expansion plans</w:t>
      </w:r>
      <w:r w:rsidR="00E868D9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”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.</w:t>
      </w:r>
    </w:p>
    <w:p w14:paraId="24D908F8" w14:textId="77777777" w:rsidR="00284408" w:rsidRPr="00022C04" w:rsidRDefault="00284408" w:rsidP="0013401C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1AC56ECE" w14:textId="52ACCB3F" w:rsidR="008C2E8B" w:rsidRPr="00022C04" w:rsidRDefault="00BA7FDE" w:rsidP="0013401C">
      <w:pPr>
        <w:jc w:val="both"/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Speaking about the </w:t>
      </w:r>
      <w:r w:rsidR="00E868D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current situation, </w:t>
      </w:r>
      <w:r w:rsidR="00E868D9" w:rsidRPr="00022C04">
        <w:rPr>
          <w:rFonts w:asciiTheme="minorHAnsi" w:eastAsia="Calibri" w:hAnsiTheme="minorHAnsi" w:cstheme="minorHAnsi"/>
          <w:b/>
          <w:bCs/>
          <w:color w:val="000000"/>
          <w:sz w:val="26"/>
          <w:szCs w:val="26"/>
          <w:bdr w:val="none" w:sz="0" w:space="0" w:color="auto" w:frame="1"/>
          <w:lang w:val="en-GB"/>
        </w:rPr>
        <w:t xml:space="preserve">Jain </w:t>
      </w:r>
      <w:r w:rsidR="00D44D02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elaborated</w:t>
      </w:r>
      <w:r w:rsidR="00E868D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“The auto component industry has displayed remarkable resilience</w:t>
      </w:r>
      <w:r w:rsidR="00D44D02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in wake of the </w:t>
      </w:r>
      <w:r w:rsidR="00FE78D1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lockdown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; t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he industry faced acute challenge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s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on the front of working capital, production and dysfunctional logistics. 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lastRenderedPageBreak/>
        <w:t>However, with unlocking of economy, growth seems to be returning to the industry with uptick in vehicle consumption especially in the two-wheelers, passenger vehicles and the tractor segment</w:t>
      </w:r>
      <w:r w:rsidR="00FE78D1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s</w:t>
      </w:r>
      <w:r w:rsidR="00654AE2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,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although sales of commercial vehicles continue to be challenged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. The 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component 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industry</w:t>
      </w:r>
      <w:r w:rsidR="00654AE2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’s</w:t>
      </w:r>
      <w:r w:rsidR="00E868D9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performance is expected to return to pre-COVID levels by the festive season should the ramp-up be not stymied by lockdowns in manufacturing zones and lack of availability of manpower</w:t>
      </w:r>
      <w:r w:rsidR="0071620D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. Going forward, to allow for uninterrupted production in the automotive</w:t>
      </w:r>
      <w:r w:rsidR="0071620D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value chain</w:t>
      </w:r>
      <w:r w:rsidR="00654AE2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,</w:t>
      </w:r>
      <w:r w:rsidR="0071620D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despite local lockdowns, ACMA has recommended to the Government to accord ‘</w:t>
      </w:r>
      <w:r w:rsidR="00FE78D1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continu</w:t>
      </w:r>
      <w:r w:rsidR="00FE78D1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>ous</w:t>
      </w:r>
      <w:r w:rsidR="0071620D" w:rsidRPr="00022C04"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  <w:t xml:space="preserve"> production industry’ status to the automotive industry</w:t>
      </w:r>
      <w:r w:rsidR="008C2E8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”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.</w:t>
      </w:r>
      <w:r w:rsidR="008C2E8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</w:p>
    <w:p w14:paraId="4B0034AA" w14:textId="77777777" w:rsidR="008C2E8B" w:rsidRPr="00022C04" w:rsidRDefault="008C2E8B" w:rsidP="0013401C">
      <w:pPr>
        <w:jc w:val="both"/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</w:pPr>
    </w:p>
    <w:p w14:paraId="0C2B531E" w14:textId="43D0E046" w:rsidR="00E868D9" w:rsidRPr="00022C04" w:rsidRDefault="008C2E8B" w:rsidP="0013401C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The long-term prospects of the </w:t>
      </w:r>
      <w:r w:rsidR="00654AE2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Indian </w:t>
      </w: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auto component industry</w:t>
      </w:r>
      <w:r w:rsidR="00654AE2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continue to be bright, especially with focus of the Government on ‘</w:t>
      </w:r>
      <w:proofErr w:type="spellStart"/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Atma-nirbharta</w:t>
      </w:r>
      <w:proofErr w:type="spellEnd"/>
      <w:r w:rsidR="00C01489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’ and global competitiveness of the industry</w:t>
      </w: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. The auto component industry and the vehicle industry are closely working together for ‘deep-localisation’</w:t>
      </w:r>
      <w:r w:rsidR="00654AE2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and import substitution</w:t>
      </w: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, which will result in higher value-addition by the auto component manufacturers</w:t>
      </w:r>
      <w:r w:rsidR="00C01489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making the sector exports competitive</w:t>
      </w:r>
      <w:r w:rsidR="00C353AB"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”</w:t>
      </w: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, 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added </w:t>
      </w:r>
      <w:r w:rsidRPr="00022C04">
        <w:rPr>
          <w:rFonts w:asciiTheme="minorHAnsi" w:eastAsia="Calibri" w:hAnsiTheme="minorHAnsi" w:cstheme="minorHAnsi"/>
          <w:b/>
          <w:bCs/>
          <w:color w:val="000000"/>
          <w:sz w:val="26"/>
          <w:szCs w:val="26"/>
          <w:bdr w:val="none" w:sz="0" w:space="0" w:color="auto" w:frame="1"/>
          <w:lang w:val="en-GB"/>
        </w:rPr>
        <w:t>Jain</w:t>
      </w:r>
      <w:r w:rsidRPr="00022C04">
        <w:rPr>
          <w:rFonts w:asciiTheme="minorHAnsi" w:eastAsia="Calibri" w:hAnsiTheme="minorHAnsi" w:cstheme="minorHAnsi"/>
          <w:i/>
          <w:iCs/>
          <w:color w:val="000000"/>
          <w:sz w:val="26"/>
          <w:szCs w:val="26"/>
          <w:bdr w:val="none" w:sz="0" w:space="0" w:color="auto" w:frame="1"/>
          <w:lang w:val="en-GB"/>
        </w:rPr>
        <w:t>.</w:t>
      </w:r>
    </w:p>
    <w:p w14:paraId="75762504" w14:textId="77777777" w:rsidR="00E868D9" w:rsidRPr="00022C04" w:rsidRDefault="00E868D9" w:rsidP="0013401C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766E2FAF" w14:textId="6FAECDEE" w:rsidR="00654AE2" w:rsidRPr="00022C04" w:rsidRDefault="00654AE2" w:rsidP="0013401C">
      <w:pPr>
        <w:jc w:val="both"/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ACMA</w:t>
      </w:r>
      <w:r w:rsidR="008C2E8B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1620D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continues</w:t>
      </w:r>
      <w:r w:rsidR="008C2E8B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to support the </w:t>
      </w:r>
      <w:r w:rsidR="0071620D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vehicle industry in their request to the government for enhancing vehicle demand in the country through reduction in GST on </w:t>
      </w:r>
      <w:r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all </w:t>
      </w:r>
      <w:r w:rsidR="0071620D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vehicle</w:t>
      </w:r>
      <w:r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categories</w:t>
      </w:r>
      <w:r w:rsidR="0071620D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to 18</w:t>
      </w:r>
      <w:r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per cent</w:t>
      </w:r>
      <w:r w:rsidR="0071620D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and introduction of an incentive based scrappage policy. </w:t>
      </w:r>
    </w:p>
    <w:p w14:paraId="30B48470" w14:textId="77777777" w:rsidR="00654AE2" w:rsidRPr="00022C04" w:rsidRDefault="00654AE2" w:rsidP="0013401C">
      <w:pPr>
        <w:jc w:val="both"/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</w:pPr>
    </w:p>
    <w:p w14:paraId="3539D0E2" w14:textId="61ECF8E0" w:rsidR="00B87B12" w:rsidRPr="00022C04" w:rsidRDefault="0071620D" w:rsidP="0013401C">
      <w:pPr>
        <w:jc w:val="both"/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>For the components sector, ACMA continues to recommend a</w:t>
      </w:r>
      <w:r w:rsidR="00284408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uniform 18</w:t>
      </w:r>
      <w:r w:rsidR="00654AE2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per cent</w:t>
      </w:r>
      <w:r w:rsidR="00284408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GST rate across the auto component sector; currently 60 per cent of the auto components attract 18 per cent GST rate, while the rest 40 per cent, majority of which are two-wheelers and tractor components, attract 28 per cent. The latter high rate has led to flourishing grey operations in the aftermarket. A benign rate of 18 per cent will not only ensure better compliance but will also ensure a larger tax base.  </w:t>
      </w:r>
      <w:r w:rsidR="00C353AB" w:rsidRPr="00022C04">
        <w:rPr>
          <w:rFonts w:asciiTheme="minorHAnsi" w:eastAsia="Calibri" w:hAnsiTheme="minorHAnsi" w:cstheme="minorHAnsi"/>
          <w:iCs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</w:p>
    <w:p w14:paraId="1483EC00" w14:textId="77777777" w:rsidR="00404014" w:rsidRPr="00022C04" w:rsidRDefault="00404014" w:rsidP="00292D49">
      <w:pPr>
        <w:jc w:val="both"/>
        <w:rPr>
          <w:rFonts w:asciiTheme="minorHAnsi" w:eastAsia="Calibri" w:hAnsiTheme="minorHAnsi" w:cstheme="minorHAnsi"/>
          <w:i/>
          <w:color w:val="000000"/>
          <w:sz w:val="26"/>
          <w:szCs w:val="26"/>
          <w:bdr w:val="none" w:sz="0" w:space="0" w:color="auto" w:frame="1"/>
          <w:lang w:val="en-GB"/>
        </w:rPr>
      </w:pPr>
    </w:p>
    <w:p w14:paraId="24017612" w14:textId="5F6E9CA7" w:rsidR="00A02DB2" w:rsidRPr="00022C04" w:rsidRDefault="00A02DB2" w:rsidP="00A02DB2">
      <w:pPr>
        <w:spacing w:after="1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Key findings of the ACMA </w:t>
      </w:r>
      <w:r w:rsidR="00654AE2"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Annual </w:t>
      </w:r>
      <w:r w:rsidR="00A25FDA"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Industry Performance Review </w:t>
      </w:r>
      <w:r w:rsidR="00BA7FDE"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for </w:t>
      </w:r>
      <w:r w:rsidR="00A25FDA" w:rsidRPr="00022C04">
        <w:rPr>
          <w:rFonts w:asciiTheme="minorHAnsi" w:hAnsiTheme="minorHAnsi" w:cstheme="minorHAnsi"/>
          <w:b/>
          <w:sz w:val="26"/>
          <w:szCs w:val="26"/>
          <w:lang w:val="en-GB"/>
        </w:rPr>
        <w:t>2019</w:t>
      </w:r>
      <w:r w:rsidR="00BA7FDE" w:rsidRPr="00022C04">
        <w:rPr>
          <w:rFonts w:asciiTheme="minorHAnsi" w:hAnsiTheme="minorHAnsi" w:cstheme="minorHAnsi"/>
          <w:b/>
          <w:sz w:val="26"/>
          <w:szCs w:val="26"/>
          <w:lang w:val="en-GB"/>
        </w:rPr>
        <w:t>-20</w:t>
      </w:r>
      <w:r w:rsidRPr="00022C04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</w:p>
    <w:p w14:paraId="11CB14BB" w14:textId="77777777" w:rsidR="00FE78D1" w:rsidRDefault="00A02DB2" w:rsidP="00FE78D1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hAnsiTheme="minorHAnsi" w:cstheme="minorHAnsi"/>
          <w:b/>
          <w:bCs/>
          <w:sz w:val="26"/>
          <w:szCs w:val="26"/>
          <w:lang w:val="en-GB"/>
        </w:rPr>
        <w:t>Exports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: Exports of auto components </w:t>
      </w:r>
      <w:r w:rsidR="00654AE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witnessed degrowth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of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3.2</w:t>
      </w:r>
      <w:r w:rsidR="00BA7FD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 to Rs.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1.02 lakh</w:t>
      </w:r>
      <w:r w:rsidR="00BA7FD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crore (USD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14</w:t>
      </w:r>
      <w:r w:rsidR="00BA7FD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.5 billion)</w:t>
      </w:r>
      <w:r w:rsidR="005806B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in 2019-20 from Rs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1.06 lakh</w:t>
      </w:r>
      <w:r w:rsidR="005806B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crore (USD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15.2</w:t>
      </w:r>
      <w:r w:rsidR="005806B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billion) in 2018-19</w:t>
      </w:r>
      <w:r w:rsidR="007A4A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. Europe account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ing</w:t>
      </w:r>
      <w:r w:rsidR="007A4A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for 3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0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</w:t>
      </w:r>
      <w:r w:rsidR="007A4A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of exports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, saw a decline of 11 percent,</w:t>
      </w:r>
      <w:r w:rsidR="007A4A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while</w:t>
      </w:r>
      <w:r w:rsidR="007A4A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North America and Asia,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accounting for</w:t>
      </w:r>
      <w:r w:rsidR="007A4AB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3D41B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30</w:t>
      </w:r>
      <w:r w:rsidR="007914C0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 and 2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7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 respectively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remained stable</w:t>
      </w: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.</w:t>
      </w:r>
    </w:p>
    <w:p w14:paraId="58E1BC4E" w14:textId="77777777" w:rsidR="00FE78D1" w:rsidRDefault="00FE78D1" w:rsidP="00FE78D1">
      <w:pPr>
        <w:pStyle w:val="ListParagraph"/>
        <w:ind w:left="360"/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65154AD3" w14:textId="36E70CC5" w:rsidR="00A02DB2" w:rsidRPr="00FE78D1" w:rsidRDefault="00A02DB2" w:rsidP="00FE78D1">
      <w:pPr>
        <w:pStyle w:val="ListParagraph"/>
        <w:ind w:left="360"/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Th</w:t>
      </w:r>
      <w:r w:rsidR="00C16855" w:rsidRP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e key export items included drive transmission &amp; steering, engine components, Body/</w:t>
      </w:r>
      <w:proofErr w:type="spellStart"/>
      <w:r w:rsidR="00C16855" w:rsidRP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Chasis</w:t>
      </w:r>
      <w:proofErr w:type="spellEnd"/>
      <w:r w:rsidR="00C16855" w:rsidRP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, Suspension &amp; Braking </w:t>
      </w:r>
      <w:r w:rsidRP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etc. </w:t>
      </w:r>
    </w:p>
    <w:p w14:paraId="7CE46FC5" w14:textId="77777777" w:rsidR="00A02DB2" w:rsidRPr="00022C04" w:rsidRDefault="00A02DB2" w:rsidP="00A02DB2">
      <w:p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</w:p>
    <w:p w14:paraId="62A0C0B7" w14:textId="43FC033E" w:rsidR="008B24CD" w:rsidRPr="00022C04" w:rsidRDefault="00A02DB2" w:rsidP="008B24CD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hAnsiTheme="minorHAnsi" w:cstheme="minorHAnsi"/>
          <w:b/>
          <w:bCs/>
          <w:sz w:val="26"/>
          <w:szCs w:val="26"/>
          <w:lang w:val="en-GB"/>
        </w:rPr>
        <w:t>Imports</w:t>
      </w:r>
      <w:r w:rsidRPr="00022C04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: </w:t>
      </w:r>
      <w:r w:rsidR="005A690E" w:rsidRPr="00022C04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Slowdown in the domestic market also reflected on imports of component into India. Component imports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fell</w:t>
      </w:r>
      <w:r w:rsidR="005806B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by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11.4</w:t>
      </w:r>
      <w:r w:rsidR="005E34D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per cent 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to Rs.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1.09 lakh</w:t>
      </w:r>
      <w:r w:rsidR="009975EB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crore </w:t>
      </w:r>
      <w:r w:rsidR="0057268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(USD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15.4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lastRenderedPageBreak/>
        <w:t xml:space="preserve">billion) </w:t>
      </w:r>
      <w:r w:rsidR="005806B1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in 2019-20 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from Rs.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1.23 lakh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crore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914C0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(USD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17.7</w:t>
      </w:r>
      <w:r w:rsidR="009975EB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7914C0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billion)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in 20</w:t>
      </w:r>
      <w:r w:rsidR="005E34D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18</w:t>
      </w:r>
      <w:r w:rsidR="00030233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-19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.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Asia accounted for 6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5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 of imports followed by Europe and North America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at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E34D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6</w:t>
      </w:r>
      <w:r w:rsidR="008B24CD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 cent and 8 per cent respectively.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Imports from Asia declined by 7 per cent, while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those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from Europe by 22 per cent and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from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North America by 17 per cent.</w:t>
      </w:r>
    </w:p>
    <w:p w14:paraId="4C0E18E7" w14:textId="77777777" w:rsidR="008B24CD" w:rsidRPr="00022C04" w:rsidRDefault="00A02DB2" w:rsidP="003A3995">
      <w:pPr>
        <w:pStyle w:val="ListParagraph"/>
        <w:ind w:left="360"/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</w:p>
    <w:p w14:paraId="53DE2963" w14:textId="4A99D3FE" w:rsidR="00B87B12" w:rsidRPr="00022C04" w:rsidRDefault="00A02DB2" w:rsidP="004E08A8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</w:pPr>
      <w:r w:rsidRPr="00022C04">
        <w:rPr>
          <w:rFonts w:asciiTheme="minorHAnsi" w:hAnsiTheme="minorHAnsi" w:cstheme="minorHAnsi"/>
          <w:b/>
          <w:bCs/>
          <w:sz w:val="26"/>
          <w:szCs w:val="26"/>
          <w:lang w:val="en-GB"/>
        </w:rPr>
        <w:t>Aftermarket</w:t>
      </w:r>
      <w:r w:rsidRPr="00022C04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: </w:t>
      </w:r>
      <w:r w:rsidR="006601F9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T</w:t>
      </w:r>
      <w:r w:rsidR="005E34D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he aftermarket in </w:t>
      </w:r>
      <w:r w:rsidR="005A690E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FY</w:t>
      </w:r>
      <w:r w:rsidR="00030233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5E34D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20</w:t>
      </w:r>
      <w:r w:rsidR="00C4351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1</w:t>
      </w:r>
      <w:r w:rsidR="00030233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9</w:t>
      </w:r>
      <w:r w:rsidR="005E34DC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-</w:t>
      </w:r>
      <w:r w:rsidR="00030233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20</w:t>
      </w:r>
      <w:r w:rsidR="00C4351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remained stable despite a downturn in the vehicle industry. The turnover of the aftermarket stood at </w:t>
      </w:r>
      <w:r w:rsidR="00C4351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Rs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69.381</w:t>
      </w:r>
      <w:r w:rsidR="000F525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crore </w:t>
      </w:r>
      <w:r w:rsidR="00FA6196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(USD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9.8</w:t>
      </w:r>
      <w:r w:rsidR="007914C0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billion)</w:t>
      </w:r>
      <w:r w:rsidR="00C43517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growing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marginally by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>2.8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per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cent </w:t>
      </w:r>
      <w:r w:rsidR="00FE78D1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over </w:t>
      </w:r>
      <w:r w:rsidR="001D2702" w:rsidRPr="00022C04">
        <w:rPr>
          <w:rFonts w:asciiTheme="minorHAnsi" w:eastAsia="Calibri" w:hAnsiTheme="minorHAnsi" w:cstheme="minorHAnsi"/>
          <w:color w:val="000000"/>
          <w:sz w:val="26"/>
          <w:szCs w:val="26"/>
          <w:bdr w:val="none" w:sz="0" w:space="0" w:color="auto" w:frame="1"/>
          <w:lang w:val="en-GB"/>
        </w:rPr>
        <w:t xml:space="preserve">the previous year.  </w:t>
      </w:r>
    </w:p>
    <w:p w14:paraId="0CE6A225" w14:textId="77777777" w:rsidR="00B87B12" w:rsidRPr="00022C04" w:rsidRDefault="00B87B12" w:rsidP="00D10360">
      <w:pPr>
        <w:jc w:val="center"/>
        <w:rPr>
          <w:rFonts w:asciiTheme="minorHAnsi" w:eastAsia="Calibri" w:hAnsiTheme="minorHAnsi" w:cstheme="minorHAnsi"/>
          <w:b/>
          <w:color w:val="000000"/>
          <w:sz w:val="26"/>
          <w:szCs w:val="26"/>
          <w:bdr w:val="none" w:sz="0" w:space="0" w:color="auto" w:frame="1"/>
          <w:lang w:val="en-GB"/>
        </w:rPr>
      </w:pPr>
    </w:p>
    <w:p w14:paraId="6B631927" w14:textId="710F5B70" w:rsidR="00A02DB2" w:rsidRPr="00022C04" w:rsidRDefault="00A02DB2" w:rsidP="00A02DB2">
      <w:pPr>
        <w:rPr>
          <w:rFonts w:asciiTheme="minorHAnsi" w:hAnsiTheme="minorHAnsi" w:cstheme="minorHAnsi"/>
          <w:sz w:val="26"/>
          <w:szCs w:val="26"/>
          <w:lang w:val="en-GB"/>
        </w:rPr>
      </w:pPr>
      <w:r w:rsidRPr="00022C04">
        <w:rPr>
          <w:rFonts w:asciiTheme="minorHAnsi" w:hAnsiTheme="minorHAnsi" w:cstheme="minorHAnsi"/>
          <w:sz w:val="26"/>
          <w:szCs w:val="26"/>
          <w:lang w:val="en-GB"/>
        </w:rPr>
        <w:t xml:space="preserve">Note: </w:t>
      </w:r>
    </w:p>
    <w:p w14:paraId="53C8D7B7" w14:textId="77777777" w:rsidR="00A3190A" w:rsidRPr="00022C04" w:rsidRDefault="00A3190A" w:rsidP="00A3190A">
      <w:pPr>
        <w:jc w:val="both"/>
        <w:rPr>
          <w:rFonts w:asciiTheme="minorHAnsi" w:hAnsiTheme="minorHAnsi" w:cstheme="minorHAnsi"/>
          <w:i/>
          <w:sz w:val="26"/>
          <w:szCs w:val="26"/>
          <w:lang w:val="en-GB"/>
        </w:rPr>
      </w:pPr>
      <w:r w:rsidRPr="00022C04">
        <w:rPr>
          <w:rFonts w:asciiTheme="minorHAnsi" w:hAnsiTheme="minorHAnsi" w:cstheme="minorHAnsi"/>
          <w:i/>
          <w:sz w:val="26"/>
          <w:szCs w:val="26"/>
          <w:lang w:val="en-GB"/>
        </w:rPr>
        <w:t xml:space="preserve">Turnover data represents the entire supplies from the auto component industry (ACMA members and non-members) to the on-road and off-road vehicle manufacturers and the aftermarket in India as well as exports. This also includes component supplies captive to the OEMs and by the unorganized and smaller players. </w:t>
      </w:r>
    </w:p>
    <w:p w14:paraId="5B086CB5" w14:textId="77777777" w:rsidR="00A02DB2" w:rsidRPr="00B65422" w:rsidRDefault="004E46FD" w:rsidP="00A02DB2">
      <w:pPr>
        <w:pStyle w:val="Heading3"/>
        <w:rPr>
          <w:rFonts w:asciiTheme="minorHAnsi" w:hAnsiTheme="minorHAnsi" w:cstheme="minorHAnsi"/>
          <w:i w:val="0"/>
          <w:sz w:val="28"/>
          <w:szCs w:val="28"/>
          <w:lang w:val="en-GB"/>
        </w:rPr>
      </w:pPr>
      <w:r w:rsidRPr="00B65422">
        <w:rPr>
          <w:rFonts w:asciiTheme="minorHAnsi" w:hAnsiTheme="minorHAnsi" w:cstheme="minorHAnsi"/>
          <w:i w:val="0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58740C" wp14:editId="2C68AA6E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F5CD8" id="Straight Connector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" o:allowincell="f"/>
            </w:pict>
          </mc:Fallback>
        </mc:AlternateContent>
      </w:r>
    </w:p>
    <w:p w14:paraId="2F3F5FA4" w14:textId="77777777" w:rsidR="00A02DB2" w:rsidRPr="00022C04" w:rsidRDefault="00A02DB2" w:rsidP="00A02DB2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22C04">
        <w:rPr>
          <w:rFonts w:asciiTheme="minorHAnsi" w:hAnsiTheme="minorHAnsi" w:cstheme="minorHAnsi"/>
          <w:b/>
          <w:sz w:val="24"/>
          <w:szCs w:val="24"/>
          <w:lang w:val="en-GB"/>
        </w:rPr>
        <w:t>About ACMA:</w:t>
      </w:r>
    </w:p>
    <w:p w14:paraId="2D44D119" w14:textId="77777777" w:rsidR="00240DF0" w:rsidRPr="00022C04" w:rsidRDefault="00240DF0" w:rsidP="00A02DB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416809A" w14:textId="080F5DD1" w:rsidR="00240DF0" w:rsidRPr="00022C04" w:rsidRDefault="00240DF0" w:rsidP="00240DF0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22C04">
        <w:rPr>
          <w:rFonts w:asciiTheme="minorHAnsi" w:eastAsia="Arial" w:hAnsiTheme="minorHAnsi" w:cstheme="minorHAnsi"/>
          <w:sz w:val="24"/>
          <w:szCs w:val="24"/>
        </w:rPr>
        <w:t>The Automotive Component Manufacturers Association of India (ACMA) is the apex body representing the interest of the Indian Auto Component Industry. Its membership of over 8</w:t>
      </w:r>
      <w:r w:rsidR="006B674F">
        <w:rPr>
          <w:rFonts w:asciiTheme="minorHAnsi" w:eastAsia="Arial" w:hAnsiTheme="minorHAnsi" w:cstheme="minorHAnsi"/>
          <w:sz w:val="24"/>
          <w:szCs w:val="24"/>
        </w:rPr>
        <w:t>5</w:t>
      </w:r>
      <w:r w:rsidRPr="00022C04">
        <w:rPr>
          <w:rFonts w:asciiTheme="minorHAnsi" w:eastAsia="Arial" w:hAnsiTheme="minorHAnsi" w:cstheme="minorHAnsi"/>
          <w:sz w:val="24"/>
          <w:szCs w:val="24"/>
        </w:rPr>
        <w:t>0 manufacturers contributes more than 90% of the auto component industry’s turnover in the organized sector. ACMA is an ISO 9001:2015 Certified Association.</w:t>
      </w:r>
    </w:p>
    <w:p w14:paraId="4A97FAD0" w14:textId="77777777" w:rsidR="00A02DB2" w:rsidRPr="00022C04" w:rsidRDefault="00A02DB2" w:rsidP="00A02DB2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E0A0425" w14:textId="77777777" w:rsidR="00DE3122" w:rsidRPr="00022C04" w:rsidRDefault="00DE3122" w:rsidP="00DE312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022C04">
        <w:rPr>
          <w:rFonts w:asciiTheme="minorHAnsi" w:hAnsiTheme="minorHAnsi" w:cstheme="minorHAnsi"/>
          <w:b/>
          <w:bCs/>
          <w:sz w:val="24"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DE3122" w:rsidRPr="00022C04" w14:paraId="7114A364" w14:textId="77777777" w:rsidTr="00DE3122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EDF5" w14:textId="77777777" w:rsidR="00DE3122" w:rsidRPr="00022C04" w:rsidRDefault="00DE3122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>ACMA</w:t>
            </w:r>
          </w:p>
          <w:p w14:paraId="1E03581A" w14:textId="27141A72" w:rsidR="00DE3122" w:rsidRPr="00022C04" w:rsidRDefault="00DE3122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Upender</w:t>
            </w:r>
            <w:proofErr w:type="spellEnd"/>
            <w:r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 Singh9901259169</w:t>
            </w:r>
          </w:p>
          <w:p w14:paraId="01579BDD" w14:textId="77777777" w:rsidR="00DE3122" w:rsidRPr="00022C04" w:rsidRDefault="00391049" w:rsidP="00666DA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hyperlink r:id="rId8" w:history="1">
              <w:r w:rsidR="00DE3122" w:rsidRPr="00022C04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sv-SE"/>
                </w:rPr>
                <w:t>Upender.singh@acma.in</w:t>
              </w:r>
            </w:hyperlink>
            <w:r w:rsidR="00DE3122" w:rsidRPr="00022C04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2C87" w14:textId="77777777" w:rsidR="00DE3122" w:rsidRPr="00022C04" w:rsidRDefault="00DE3122" w:rsidP="00666DA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Archetype</w:t>
            </w:r>
            <w:proofErr w:type="spellEnd"/>
          </w:p>
          <w:p w14:paraId="29CFF636" w14:textId="77777777" w:rsidR="00DE3122" w:rsidRPr="00022C04" w:rsidRDefault="00DE3122" w:rsidP="00666DA2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Laveena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Vohra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| 9711682237| </w:t>
            </w:r>
            <w:hyperlink r:id="rId9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2A253951" w14:textId="4DBD4B50" w:rsidR="00DE3122" w:rsidRPr="00022C04" w:rsidRDefault="00DE3122" w:rsidP="00666DA2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KumarI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10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Shwetank.kumar@archetype.co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613F2A93" w14:textId="77777777" w:rsidR="00803D1D" w:rsidRPr="004E08A8" w:rsidRDefault="00803D1D" w:rsidP="00DE3122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803D1D" w:rsidRPr="004E08A8" w:rsidSect="00C047F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13BBA" w14:textId="77777777" w:rsidR="00391049" w:rsidRDefault="00391049" w:rsidP="00E275E2">
      <w:r>
        <w:separator/>
      </w:r>
    </w:p>
  </w:endnote>
  <w:endnote w:type="continuationSeparator" w:id="0">
    <w:p w14:paraId="517F5F63" w14:textId="77777777" w:rsidR="00391049" w:rsidRDefault="00391049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DAE01" w14:textId="77777777"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3827" w14:textId="77777777"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740DD" w14:textId="77777777"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0B647E">
      <w:rPr>
        <w:rStyle w:val="PageNumber"/>
        <w:rFonts w:ascii="Arial" w:hAnsi="Arial" w:cs="Arial"/>
        <w:noProof/>
      </w:rPr>
      <w:t>2</w:t>
    </w:r>
    <w:r w:rsidRPr="00CE638E">
      <w:rPr>
        <w:rStyle w:val="PageNumber"/>
        <w:rFonts w:ascii="Arial" w:hAnsi="Arial" w:cs="Arial"/>
      </w:rPr>
      <w:fldChar w:fldCharType="end"/>
    </w:r>
  </w:p>
  <w:p w14:paraId="24100FE4" w14:textId="77777777"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5CD70" w14:textId="77777777" w:rsidR="00391049" w:rsidRDefault="00391049" w:rsidP="00E275E2">
      <w:r>
        <w:separator/>
      </w:r>
    </w:p>
  </w:footnote>
  <w:footnote w:type="continuationSeparator" w:id="0">
    <w:p w14:paraId="44635F73" w14:textId="77777777" w:rsidR="00391049" w:rsidRDefault="00391049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rgUAhFbP1ywAAAA="/>
  </w:docVars>
  <w:rsids>
    <w:rsidRoot w:val="00A02DB2"/>
    <w:rsid w:val="00016EE2"/>
    <w:rsid w:val="00020713"/>
    <w:rsid w:val="00022C04"/>
    <w:rsid w:val="00030233"/>
    <w:rsid w:val="00076A86"/>
    <w:rsid w:val="000832B4"/>
    <w:rsid w:val="000868B3"/>
    <w:rsid w:val="000A0C78"/>
    <w:rsid w:val="000A6962"/>
    <w:rsid w:val="000B647E"/>
    <w:rsid w:val="000B7849"/>
    <w:rsid w:val="000C2CAF"/>
    <w:rsid w:val="000E70AA"/>
    <w:rsid w:val="000F5257"/>
    <w:rsid w:val="000F57DB"/>
    <w:rsid w:val="001000C2"/>
    <w:rsid w:val="001000E5"/>
    <w:rsid w:val="0010634F"/>
    <w:rsid w:val="001176F9"/>
    <w:rsid w:val="0013401C"/>
    <w:rsid w:val="001548DD"/>
    <w:rsid w:val="001728DA"/>
    <w:rsid w:val="00184B67"/>
    <w:rsid w:val="001971A9"/>
    <w:rsid w:val="001B1686"/>
    <w:rsid w:val="001C5C2F"/>
    <w:rsid w:val="001D2702"/>
    <w:rsid w:val="001E131F"/>
    <w:rsid w:val="001E276E"/>
    <w:rsid w:val="001F0E97"/>
    <w:rsid w:val="001F16CF"/>
    <w:rsid w:val="002141AF"/>
    <w:rsid w:val="0022275F"/>
    <w:rsid w:val="00240DF0"/>
    <w:rsid w:val="0024525B"/>
    <w:rsid w:val="00246CDD"/>
    <w:rsid w:val="00251252"/>
    <w:rsid w:val="00262E17"/>
    <w:rsid w:val="002802B6"/>
    <w:rsid w:val="00284408"/>
    <w:rsid w:val="00287145"/>
    <w:rsid w:val="0029072C"/>
    <w:rsid w:val="00292D49"/>
    <w:rsid w:val="00295103"/>
    <w:rsid w:val="0031420B"/>
    <w:rsid w:val="00327740"/>
    <w:rsid w:val="00340962"/>
    <w:rsid w:val="00347898"/>
    <w:rsid w:val="00385903"/>
    <w:rsid w:val="00391049"/>
    <w:rsid w:val="003A3995"/>
    <w:rsid w:val="003B1ABC"/>
    <w:rsid w:val="003D41BE"/>
    <w:rsid w:val="003E0889"/>
    <w:rsid w:val="003E4B84"/>
    <w:rsid w:val="003E5E8A"/>
    <w:rsid w:val="003E5FA7"/>
    <w:rsid w:val="00402555"/>
    <w:rsid w:val="00404014"/>
    <w:rsid w:val="00420904"/>
    <w:rsid w:val="00427AF9"/>
    <w:rsid w:val="00444F88"/>
    <w:rsid w:val="00480026"/>
    <w:rsid w:val="00483D31"/>
    <w:rsid w:val="004A4180"/>
    <w:rsid w:val="004A5650"/>
    <w:rsid w:val="004A79D5"/>
    <w:rsid w:val="004C39B4"/>
    <w:rsid w:val="004C46CA"/>
    <w:rsid w:val="004D6AE6"/>
    <w:rsid w:val="004E08A8"/>
    <w:rsid w:val="004E46FD"/>
    <w:rsid w:val="004F774C"/>
    <w:rsid w:val="004F7C15"/>
    <w:rsid w:val="005324FC"/>
    <w:rsid w:val="00535AE2"/>
    <w:rsid w:val="0055136C"/>
    <w:rsid w:val="00552121"/>
    <w:rsid w:val="0057268C"/>
    <w:rsid w:val="005806B1"/>
    <w:rsid w:val="00591673"/>
    <w:rsid w:val="0059580A"/>
    <w:rsid w:val="005A4AA7"/>
    <w:rsid w:val="005A690E"/>
    <w:rsid w:val="005B55D5"/>
    <w:rsid w:val="005D3EB3"/>
    <w:rsid w:val="005D6691"/>
    <w:rsid w:val="005E34DC"/>
    <w:rsid w:val="005E3DF7"/>
    <w:rsid w:val="00603497"/>
    <w:rsid w:val="00605271"/>
    <w:rsid w:val="00617CB7"/>
    <w:rsid w:val="006342D6"/>
    <w:rsid w:val="00652914"/>
    <w:rsid w:val="00654AE2"/>
    <w:rsid w:val="006601F9"/>
    <w:rsid w:val="00681BBF"/>
    <w:rsid w:val="00696877"/>
    <w:rsid w:val="006B1A97"/>
    <w:rsid w:val="006B674F"/>
    <w:rsid w:val="006C00B2"/>
    <w:rsid w:val="006F379C"/>
    <w:rsid w:val="00713CA5"/>
    <w:rsid w:val="00714A2F"/>
    <w:rsid w:val="0071620D"/>
    <w:rsid w:val="00787EC2"/>
    <w:rsid w:val="007914C0"/>
    <w:rsid w:val="007A4AB2"/>
    <w:rsid w:val="007A6E8F"/>
    <w:rsid w:val="007A75DA"/>
    <w:rsid w:val="007D5FFA"/>
    <w:rsid w:val="007E79FC"/>
    <w:rsid w:val="00803D1D"/>
    <w:rsid w:val="00806EA1"/>
    <w:rsid w:val="00813281"/>
    <w:rsid w:val="008250AC"/>
    <w:rsid w:val="008469DC"/>
    <w:rsid w:val="00850930"/>
    <w:rsid w:val="00873A06"/>
    <w:rsid w:val="00887E6E"/>
    <w:rsid w:val="008A0573"/>
    <w:rsid w:val="008B24CD"/>
    <w:rsid w:val="008C2E8B"/>
    <w:rsid w:val="008C7278"/>
    <w:rsid w:val="008D2047"/>
    <w:rsid w:val="008F1711"/>
    <w:rsid w:val="008F75E8"/>
    <w:rsid w:val="009116F6"/>
    <w:rsid w:val="009238E4"/>
    <w:rsid w:val="00947E5C"/>
    <w:rsid w:val="009605D9"/>
    <w:rsid w:val="00972E2B"/>
    <w:rsid w:val="00983F44"/>
    <w:rsid w:val="00992633"/>
    <w:rsid w:val="00993FCB"/>
    <w:rsid w:val="009975EB"/>
    <w:rsid w:val="009B5302"/>
    <w:rsid w:val="009E6A47"/>
    <w:rsid w:val="009F24E0"/>
    <w:rsid w:val="009F7F54"/>
    <w:rsid w:val="00A02DB2"/>
    <w:rsid w:val="00A0557B"/>
    <w:rsid w:val="00A25FDA"/>
    <w:rsid w:val="00A2687F"/>
    <w:rsid w:val="00A3190A"/>
    <w:rsid w:val="00A3707C"/>
    <w:rsid w:val="00A47E5B"/>
    <w:rsid w:val="00A520CE"/>
    <w:rsid w:val="00A71B51"/>
    <w:rsid w:val="00A743DE"/>
    <w:rsid w:val="00A80A5B"/>
    <w:rsid w:val="00A81E26"/>
    <w:rsid w:val="00A96040"/>
    <w:rsid w:val="00AC0189"/>
    <w:rsid w:val="00AD1398"/>
    <w:rsid w:val="00AD4154"/>
    <w:rsid w:val="00AD6070"/>
    <w:rsid w:val="00B10B69"/>
    <w:rsid w:val="00B44685"/>
    <w:rsid w:val="00B6435A"/>
    <w:rsid w:val="00B6459F"/>
    <w:rsid w:val="00B65422"/>
    <w:rsid w:val="00B65AD1"/>
    <w:rsid w:val="00B7744A"/>
    <w:rsid w:val="00B87B12"/>
    <w:rsid w:val="00BA3A05"/>
    <w:rsid w:val="00BA635A"/>
    <w:rsid w:val="00BA64AF"/>
    <w:rsid w:val="00BA7FDE"/>
    <w:rsid w:val="00BD7ABE"/>
    <w:rsid w:val="00BE39D8"/>
    <w:rsid w:val="00BE4D30"/>
    <w:rsid w:val="00BF3476"/>
    <w:rsid w:val="00C00376"/>
    <w:rsid w:val="00C01489"/>
    <w:rsid w:val="00C021E2"/>
    <w:rsid w:val="00C047F1"/>
    <w:rsid w:val="00C16855"/>
    <w:rsid w:val="00C27D7C"/>
    <w:rsid w:val="00C32016"/>
    <w:rsid w:val="00C353AB"/>
    <w:rsid w:val="00C43517"/>
    <w:rsid w:val="00C47D76"/>
    <w:rsid w:val="00C61371"/>
    <w:rsid w:val="00C7798A"/>
    <w:rsid w:val="00C930EC"/>
    <w:rsid w:val="00C933D7"/>
    <w:rsid w:val="00C9468B"/>
    <w:rsid w:val="00CC3A28"/>
    <w:rsid w:val="00CC4C53"/>
    <w:rsid w:val="00CD1603"/>
    <w:rsid w:val="00CE57E1"/>
    <w:rsid w:val="00CE638E"/>
    <w:rsid w:val="00CE781C"/>
    <w:rsid w:val="00D00D14"/>
    <w:rsid w:val="00D075DF"/>
    <w:rsid w:val="00D10360"/>
    <w:rsid w:val="00D17B33"/>
    <w:rsid w:val="00D2146E"/>
    <w:rsid w:val="00D44D02"/>
    <w:rsid w:val="00D47096"/>
    <w:rsid w:val="00D613D6"/>
    <w:rsid w:val="00D617DD"/>
    <w:rsid w:val="00D64702"/>
    <w:rsid w:val="00D67A89"/>
    <w:rsid w:val="00D83A42"/>
    <w:rsid w:val="00DB1333"/>
    <w:rsid w:val="00DC6F25"/>
    <w:rsid w:val="00DE3122"/>
    <w:rsid w:val="00E05B2D"/>
    <w:rsid w:val="00E275E2"/>
    <w:rsid w:val="00E53727"/>
    <w:rsid w:val="00E538C6"/>
    <w:rsid w:val="00E61FD9"/>
    <w:rsid w:val="00E868D9"/>
    <w:rsid w:val="00E945A9"/>
    <w:rsid w:val="00EE3EC4"/>
    <w:rsid w:val="00EE521D"/>
    <w:rsid w:val="00F01F35"/>
    <w:rsid w:val="00F12AB2"/>
    <w:rsid w:val="00F461F1"/>
    <w:rsid w:val="00F53CCA"/>
    <w:rsid w:val="00F55543"/>
    <w:rsid w:val="00FA1A38"/>
    <w:rsid w:val="00FA6196"/>
    <w:rsid w:val="00FA76D9"/>
    <w:rsid w:val="00FB5F59"/>
    <w:rsid w:val="00FC30F0"/>
    <w:rsid w:val="00FE71B5"/>
    <w:rsid w:val="00FE78D1"/>
    <w:rsid w:val="00FF0D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C33BAC"/>
  <w15:docId w15:val="{F5FAFCED-D473-CE41-AECC-D32BD4B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uiPriority w:val="99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paragraph" w:customStyle="1" w:styleId="MediumGrid21">
    <w:name w:val="Medium Grid 21"/>
    <w:uiPriority w:val="1"/>
    <w:qFormat/>
    <w:rsid w:val="00DE3122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2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vmehta68@gmail.com</cp:lastModifiedBy>
  <cp:revision>12</cp:revision>
  <cp:lastPrinted>2019-12-05T11:10:00Z</cp:lastPrinted>
  <dcterms:created xsi:type="dcterms:W3CDTF">2020-08-16T12:37:00Z</dcterms:created>
  <dcterms:modified xsi:type="dcterms:W3CDTF">2020-08-18T12:54:00Z</dcterms:modified>
</cp:coreProperties>
</file>